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8pt;height:45pt" o:ole="" o:preferrelative="t" stroked="f">
            <v:imagedata r:id="rId9" o:title=""/>
          </v:rect>
          <o:OLEObject Type="Embed" ProgID="StaticMetafile" ShapeID="rectole0000000000" DrawAspect="Content" ObjectID="_1653728952" r:id="rId10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C3319B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794DE5" w:rsidRPr="00183B3A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C3319B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773532" w:rsidRPr="00C3319B">
        <w:rPr>
          <w:rFonts w:ascii="Times New Roman" w:hAnsi="Times New Roman"/>
          <w:sz w:val="26"/>
          <w:szCs w:val="26"/>
          <w:lang w:val="uk-UA"/>
        </w:rPr>
        <w:t>10</w:t>
      </w:r>
      <w:r w:rsidR="0058214E" w:rsidRPr="00C3319B">
        <w:rPr>
          <w:rFonts w:ascii="Times New Roman" w:hAnsi="Times New Roman"/>
          <w:sz w:val="26"/>
          <w:szCs w:val="26"/>
          <w:lang w:val="uk-UA"/>
        </w:rPr>
        <w:t>.06.2020</w:t>
      </w:r>
      <w:r w:rsidRPr="00C3319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с. </w:t>
      </w:r>
      <w:proofErr w:type="spellStart"/>
      <w:r w:rsidRPr="00183B3A">
        <w:rPr>
          <w:rFonts w:ascii="Times New Roman" w:hAnsi="Times New Roman"/>
          <w:sz w:val="26"/>
          <w:szCs w:val="26"/>
          <w:lang w:val="uk-UA"/>
        </w:rPr>
        <w:t>Іллінівка</w:t>
      </w:r>
      <w:proofErr w:type="spellEnd"/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</w:t>
      </w:r>
      <w:r w:rsidR="00C3319B"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183B3A">
        <w:rPr>
          <w:rFonts w:ascii="Times New Roman" w:hAnsi="Times New Roman"/>
          <w:sz w:val="26"/>
          <w:szCs w:val="26"/>
          <w:lang w:val="uk-UA"/>
        </w:rPr>
        <w:t>№</w:t>
      </w:r>
      <w:r w:rsidR="00597E63">
        <w:rPr>
          <w:rFonts w:ascii="Times New Roman" w:hAnsi="Times New Roman"/>
          <w:sz w:val="26"/>
          <w:szCs w:val="26"/>
          <w:lang w:val="uk-UA"/>
        </w:rPr>
        <w:t xml:space="preserve">  107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4FDE" w:rsidRDefault="00794DE5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Про</w:t>
      </w:r>
      <w:r w:rsidR="00773532">
        <w:rPr>
          <w:rFonts w:ascii="Times New Roman" w:hAnsi="Times New Roman"/>
          <w:sz w:val="28"/>
          <w:szCs w:val="28"/>
          <w:lang w:val="uk-UA"/>
        </w:rPr>
        <w:t xml:space="preserve"> уповноважений заклад </w:t>
      </w:r>
    </w:p>
    <w:p w:rsidR="001D4FDE" w:rsidRDefault="00773532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освіти, </w:t>
      </w:r>
    </w:p>
    <w:p w:rsidR="001D4FDE" w:rsidRDefault="00773532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прикріплений до закладу вищої освіти </w:t>
      </w:r>
    </w:p>
    <w:p w:rsidR="00547370" w:rsidRDefault="00773532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рамках роботи освітніх центрів «Донбас-Україна»</w:t>
      </w:r>
    </w:p>
    <w:p w:rsidR="00071762" w:rsidRDefault="00071762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E6B" w:rsidRDefault="00DB1E6B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071762" w:rsidRPr="00C77CDE" w:rsidRDefault="00DB1E6B" w:rsidP="007735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71762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внесення змін до деяких законів України щодо забезпечення права на здобуття освіти осіб, місцем проживання яких є територія проведення антитерористичної операції» та на підставі наказів Міністерства освіти і науки України від 24.05.2016 № 560 «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071762">
        <w:rPr>
          <w:rFonts w:ascii="Times New Roman" w:hAnsi="Times New Roman"/>
          <w:sz w:val="28"/>
          <w:szCs w:val="28"/>
          <w:lang w:val="uk-UA"/>
        </w:rPr>
        <w:t xml:space="preserve">ро затвердження Порядку прийому для здобуття вищої та професійної (професійно-технічної) освіти осіб, які проживають на тимчасово окупованій території України», зареєстрованого в Міністерстві юстиції </w:t>
      </w:r>
      <w:r>
        <w:rPr>
          <w:rFonts w:ascii="Times New Roman" w:hAnsi="Times New Roman"/>
          <w:sz w:val="28"/>
          <w:szCs w:val="28"/>
          <w:lang w:val="uk-UA"/>
        </w:rPr>
        <w:t>України</w:t>
      </w:r>
      <w:r w:rsidR="00071762">
        <w:rPr>
          <w:rFonts w:ascii="Times New Roman" w:hAnsi="Times New Roman"/>
          <w:sz w:val="28"/>
          <w:szCs w:val="28"/>
          <w:lang w:val="uk-UA"/>
        </w:rPr>
        <w:t xml:space="preserve"> 31.05.2016</w:t>
      </w:r>
      <w:r>
        <w:rPr>
          <w:rFonts w:ascii="Times New Roman" w:hAnsi="Times New Roman"/>
          <w:sz w:val="28"/>
          <w:szCs w:val="28"/>
          <w:lang w:val="uk-UA"/>
        </w:rPr>
        <w:t xml:space="preserve"> № 795/28925(із змінами) та 14.06.2016 року № 667 «Про затвердження Переліку уповноважених закладів вищої та фахової перед вищої освіти»( із змінами), наказу департаменту освіти і науки Донецької облдержадміністрації «Про затвердження переліку уповноважених закладів загальної середньої освіти, прикріплених до закладів вищої освіти у рамках роботи освітніх центрів «Донбас-Україна»</w:t>
      </w:r>
      <w:r w:rsidR="00ED29B3">
        <w:rPr>
          <w:rFonts w:ascii="Times New Roman" w:hAnsi="Times New Roman"/>
          <w:sz w:val="28"/>
          <w:szCs w:val="28"/>
          <w:lang w:val="uk-UA"/>
        </w:rPr>
        <w:t xml:space="preserve">  з метою забезпечення функціонування освітніх центрів «Донбас-Україна»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532" w:rsidRDefault="00773532" w:rsidP="00796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1.Вважати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опорний заклад загальної середньої освіти з поглибленим вивченням іноземних мов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уповноваженим закладом загальної середньої освіти, прикріпленим до закладу вищої</w:t>
      </w:r>
      <w:r w:rsidR="005F5B2D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4FDE">
        <w:rPr>
          <w:rFonts w:ascii="Times New Roman" w:hAnsi="Times New Roman"/>
          <w:sz w:val="28"/>
          <w:szCs w:val="28"/>
          <w:lang w:val="uk-UA"/>
        </w:rPr>
        <w:t>– Луганського національного аграрного університету</w:t>
      </w:r>
      <w:r w:rsidR="00597E63">
        <w:rPr>
          <w:rFonts w:ascii="Times New Roman" w:hAnsi="Times New Roman"/>
          <w:sz w:val="28"/>
          <w:szCs w:val="28"/>
          <w:lang w:val="uk-UA"/>
        </w:rPr>
        <w:t>, на базі якого функціонує</w:t>
      </w:r>
      <w:r w:rsidR="005F5B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E63">
        <w:rPr>
          <w:rFonts w:ascii="Times New Roman" w:hAnsi="Times New Roman"/>
          <w:sz w:val="28"/>
          <w:szCs w:val="28"/>
          <w:lang w:val="uk-UA"/>
        </w:rPr>
        <w:t>освітній центр</w:t>
      </w:r>
      <w:r w:rsidR="005F5B2D">
        <w:rPr>
          <w:rFonts w:ascii="Times New Roman" w:hAnsi="Times New Roman"/>
          <w:sz w:val="28"/>
          <w:szCs w:val="28"/>
          <w:lang w:val="uk-UA"/>
        </w:rPr>
        <w:t xml:space="preserve"> «Донбас –Україна»</w:t>
      </w:r>
      <w:r w:rsidR="00597E63">
        <w:rPr>
          <w:rFonts w:ascii="Times New Roman" w:hAnsi="Times New Roman"/>
          <w:sz w:val="28"/>
          <w:szCs w:val="28"/>
          <w:lang w:val="uk-UA"/>
        </w:rPr>
        <w:t xml:space="preserve"> (додається),  для проведення річного оцінювання та державної підсумкової атестації, замовлення та видачі документів державного зразка про базову або повну загальну середню освіту особам, місце проживання яких є територія проведення антитерористичної операції (на період її проведення) (далі-</w:t>
      </w:r>
      <w:r w:rsidR="00597E63">
        <w:rPr>
          <w:rFonts w:ascii="Times New Roman" w:hAnsi="Times New Roman"/>
          <w:sz w:val="28"/>
          <w:szCs w:val="28"/>
          <w:lang w:val="uk-UA"/>
        </w:rPr>
        <w:lastRenderedPageBreak/>
        <w:t>Заявники)</w:t>
      </w:r>
      <w:r w:rsidR="001D4FDE">
        <w:rPr>
          <w:rFonts w:ascii="Times New Roman" w:hAnsi="Times New Roman"/>
          <w:sz w:val="28"/>
          <w:szCs w:val="28"/>
          <w:lang w:val="uk-UA"/>
        </w:rPr>
        <w:t xml:space="preserve"> відповідно до наказу департаменту освіти і науки Донецької облде</w:t>
      </w:r>
      <w:r w:rsidR="005F5B2D">
        <w:rPr>
          <w:rFonts w:ascii="Times New Roman" w:hAnsi="Times New Roman"/>
          <w:sz w:val="28"/>
          <w:szCs w:val="28"/>
          <w:lang w:val="uk-UA"/>
        </w:rPr>
        <w:t>ржадміністрації від 04.06.2020 №</w:t>
      </w:r>
      <w:r w:rsidR="001D4FDE">
        <w:rPr>
          <w:rFonts w:ascii="Times New Roman" w:hAnsi="Times New Roman"/>
          <w:sz w:val="28"/>
          <w:szCs w:val="28"/>
          <w:lang w:val="uk-UA"/>
        </w:rPr>
        <w:t> 163/163-20-ОД</w:t>
      </w:r>
      <w:r w:rsidR="005F5B2D">
        <w:rPr>
          <w:rFonts w:ascii="Times New Roman" w:hAnsi="Times New Roman"/>
          <w:sz w:val="28"/>
          <w:szCs w:val="28"/>
          <w:lang w:val="uk-UA"/>
        </w:rPr>
        <w:t xml:space="preserve"> «Про затвердження переліку уповноважених закладів загальної середньої освіти, прикріплених до закладів вищої освіти у рамках роботи освітніх центрів «Донбас - Україна».</w:t>
      </w:r>
    </w:p>
    <w:p w:rsidR="00794DE5" w:rsidRPr="00C77CDE" w:rsidRDefault="00773532" w:rsidP="0079621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2.Керівнику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151D" w:rsidRPr="00C77CDE"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ОЗЗСО з поглибленим вивченням іноземних мов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Бурдун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="00B3587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79621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1)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5F5B2D">
        <w:rPr>
          <w:rFonts w:ascii="Times New Roman" w:hAnsi="Times New Roman"/>
          <w:sz w:val="28"/>
          <w:szCs w:val="28"/>
          <w:lang w:val="uk-UA"/>
        </w:rPr>
        <w:t xml:space="preserve">роботу </w:t>
      </w:r>
      <w:proofErr w:type="spellStart"/>
      <w:r w:rsidR="005F5B2D" w:rsidRPr="00C77CDE"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 w:rsidR="005F5B2D" w:rsidRPr="00C77CDE">
        <w:rPr>
          <w:rFonts w:ascii="Times New Roman" w:hAnsi="Times New Roman"/>
          <w:sz w:val="28"/>
          <w:szCs w:val="28"/>
          <w:lang w:val="uk-UA"/>
        </w:rPr>
        <w:t xml:space="preserve"> ОЗЗСО з поглибленим вивченням іноземних мов</w:t>
      </w:r>
      <w:r w:rsidR="005F5B2D">
        <w:rPr>
          <w:rFonts w:ascii="Times New Roman" w:hAnsi="Times New Roman"/>
          <w:sz w:val="28"/>
          <w:szCs w:val="28"/>
          <w:lang w:val="uk-UA"/>
        </w:rPr>
        <w:t xml:space="preserve"> як уповноваженого закладу загальної середньої освіти для проведення річного оцінювання та державної підсумкової атестації,</w:t>
      </w:r>
      <w:r w:rsidR="00376FBA">
        <w:rPr>
          <w:rFonts w:ascii="Times New Roman" w:hAnsi="Times New Roman"/>
          <w:sz w:val="28"/>
          <w:szCs w:val="28"/>
          <w:lang w:val="uk-UA"/>
        </w:rPr>
        <w:t xml:space="preserve"> замовлення та видачі документів державного зразка про базову або повну загальну середню освіту Заявникам згідно з додатком.</w:t>
      </w:r>
    </w:p>
    <w:p w:rsidR="006E7FD6" w:rsidRPr="00C77CDE" w:rsidRDefault="00794DE5" w:rsidP="00376FBA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2)</w:t>
      </w:r>
      <w:r w:rsidR="00376FBA">
        <w:rPr>
          <w:rFonts w:ascii="Times New Roman" w:hAnsi="Times New Roman"/>
          <w:sz w:val="28"/>
          <w:szCs w:val="28"/>
          <w:lang w:val="uk-UA"/>
        </w:rPr>
        <w:t>Розмістити на сайті закладу освіти, інформаційних стендах тощо інформацію про спрощену процедуру вступу до закладів вищої та професійної освіти випускників 9-х і 11-х класів, місце пр</w:t>
      </w:r>
      <w:r w:rsidR="00071762">
        <w:rPr>
          <w:rFonts w:ascii="Times New Roman" w:hAnsi="Times New Roman"/>
          <w:sz w:val="28"/>
          <w:szCs w:val="28"/>
          <w:lang w:val="uk-UA"/>
        </w:rPr>
        <w:t>о</w:t>
      </w:r>
      <w:r w:rsidR="00376FBA">
        <w:rPr>
          <w:rFonts w:ascii="Times New Roman" w:hAnsi="Times New Roman"/>
          <w:sz w:val="28"/>
          <w:szCs w:val="28"/>
          <w:lang w:val="uk-UA"/>
        </w:rPr>
        <w:t>живання яких є територія проведення антитерористичної</w:t>
      </w:r>
      <w:r w:rsidR="00071762">
        <w:rPr>
          <w:rFonts w:ascii="Times New Roman" w:hAnsi="Times New Roman"/>
          <w:sz w:val="28"/>
          <w:szCs w:val="28"/>
          <w:lang w:val="uk-UA"/>
        </w:rPr>
        <w:t xml:space="preserve"> операції (на період її проведення), через центри «Донбас –Україна»</w:t>
      </w:r>
      <w:r w:rsidR="00376F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2D6A" w:rsidRPr="00426CF0" w:rsidRDefault="00E02D6A" w:rsidP="00E02D6A">
      <w:pPr>
        <w:pStyle w:val="a8"/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1" w:history="1">
        <w:r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ED29B3" w:rsidRDefault="00E02D6A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9B3">
        <w:rPr>
          <w:rFonts w:ascii="Times New Roman" w:hAnsi="Times New Roman"/>
          <w:sz w:val="28"/>
          <w:szCs w:val="28"/>
          <w:lang w:val="uk-UA"/>
        </w:rPr>
        <w:t xml:space="preserve">Головному бухгалтеру відділу освіти (Печерських) урахувати зміни у педагогічному навантаженні педагогів </w:t>
      </w:r>
      <w:proofErr w:type="spellStart"/>
      <w:r w:rsidR="00ED29B3"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 w:rsidR="00ED29B3">
        <w:rPr>
          <w:rFonts w:ascii="Times New Roman" w:hAnsi="Times New Roman"/>
          <w:sz w:val="28"/>
          <w:szCs w:val="28"/>
          <w:lang w:val="uk-UA"/>
        </w:rPr>
        <w:t xml:space="preserve"> ОЗЗСО, які будуть залучені до роботи з питання щодо забезпечення права на здобуття освіти осіб, місцем проживання яких є територія проведення антитерористичної операції, та оплату праці педагогів здійснювати відповідно до чинного законодавства.</w:t>
      </w:r>
    </w:p>
    <w:p w:rsidR="00597E63" w:rsidRDefault="00597E63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ED29B3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376FBA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освіти </w:t>
      </w:r>
      <w:proofErr w:type="spellStart"/>
      <w:r w:rsidR="00376FBA">
        <w:rPr>
          <w:rFonts w:ascii="Times New Roman" w:hAnsi="Times New Roman"/>
          <w:sz w:val="28"/>
          <w:szCs w:val="28"/>
          <w:lang w:val="uk-UA"/>
        </w:rPr>
        <w:t>Кабанцеву</w:t>
      </w:r>
      <w:proofErr w:type="spellEnd"/>
      <w:r w:rsidR="00376FBA">
        <w:rPr>
          <w:rFonts w:ascii="Times New Roman" w:hAnsi="Times New Roman"/>
          <w:sz w:val="28"/>
          <w:szCs w:val="28"/>
          <w:lang w:val="uk-UA"/>
        </w:rPr>
        <w:t xml:space="preserve"> К.В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376FBA" w:rsidRDefault="00376FBA" w:rsidP="00E02D6A">
      <w:pPr>
        <w:rPr>
          <w:rFonts w:ascii="Times New Roman" w:hAnsi="Times New Roman"/>
          <w:sz w:val="20"/>
          <w:szCs w:val="20"/>
          <w:lang w:val="uk-UA"/>
        </w:rPr>
      </w:pPr>
    </w:p>
    <w:p w:rsidR="00794DE5" w:rsidRDefault="00071762" w:rsidP="00E02D6A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</w:t>
      </w:r>
      <w:r w:rsidR="00376FBA" w:rsidRPr="00376FBA">
        <w:rPr>
          <w:rFonts w:ascii="Times New Roman" w:hAnsi="Times New Roman"/>
          <w:sz w:val="20"/>
          <w:szCs w:val="20"/>
          <w:lang w:val="uk-UA"/>
        </w:rPr>
        <w:t xml:space="preserve">рина </w:t>
      </w:r>
      <w:proofErr w:type="spellStart"/>
      <w:r w:rsidR="00376FBA" w:rsidRPr="00376FBA">
        <w:rPr>
          <w:rFonts w:ascii="Times New Roman" w:hAnsi="Times New Roman"/>
          <w:sz w:val="20"/>
          <w:szCs w:val="20"/>
          <w:lang w:val="uk-UA"/>
        </w:rPr>
        <w:t>Кабанцева</w:t>
      </w:r>
      <w:proofErr w:type="spellEnd"/>
      <w:r w:rsidR="00376FBA" w:rsidRPr="00376FBA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2E59C0" w:rsidRDefault="00ED29B3" w:rsidP="00E02D6A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Ознайомлена:</w:t>
      </w:r>
      <w:r w:rsidR="002E59C0">
        <w:rPr>
          <w:rFonts w:ascii="Times New Roman" w:hAnsi="Times New Roman"/>
          <w:sz w:val="20"/>
          <w:szCs w:val="20"/>
          <w:lang w:val="uk-UA"/>
        </w:rPr>
        <w:t xml:space="preserve">                                      </w:t>
      </w:r>
    </w:p>
    <w:p w:rsidR="00942BDC" w:rsidRDefault="002E59C0" w:rsidP="00E02D6A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Печерських Л.М. </w:t>
      </w:r>
    </w:p>
    <w:p w:rsidR="00942BDC" w:rsidRDefault="00942BDC" w:rsidP="00E02D6A">
      <w:pPr>
        <w:rPr>
          <w:rFonts w:ascii="Times New Roman" w:hAnsi="Times New Roman"/>
          <w:sz w:val="20"/>
          <w:szCs w:val="20"/>
          <w:lang w:val="uk-UA"/>
        </w:rPr>
      </w:pPr>
    </w:p>
    <w:p w:rsidR="00942BDC" w:rsidRDefault="00942BDC" w:rsidP="00E02D6A">
      <w:pPr>
        <w:rPr>
          <w:rFonts w:ascii="Times New Roman" w:hAnsi="Times New Roman"/>
          <w:sz w:val="20"/>
          <w:szCs w:val="20"/>
          <w:lang w:val="uk-UA"/>
        </w:rPr>
      </w:pPr>
    </w:p>
    <w:p w:rsidR="00942BDC" w:rsidRDefault="00942BDC" w:rsidP="00E02D6A">
      <w:pPr>
        <w:rPr>
          <w:rFonts w:ascii="Times New Roman" w:hAnsi="Times New Roman"/>
          <w:sz w:val="20"/>
          <w:szCs w:val="20"/>
          <w:lang w:val="uk-UA"/>
        </w:rPr>
      </w:pPr>
    </w:p>
    <w:p w:rsidR="00942BDC" w:rsidRDefault="00942BDC" w:rsidP="00E02D6A">
      <w:pPr>
        <w:rPr>
          <w:rFonts w:ascii="Times New Roman" w:hAnsi="Times New Roman"/>
          <w:sz w:val="20"/>
          <w:szCs w:val="20"/>
          <w:lang w:val="uk-UA"/>
        </w:rPr>
      </w:pPr>
    </w:p>
    <w:p w:rsidR="00942BDC" w:rsidRPr="00942BDC" w:rsidRDefault="00942BDC" w:rsidP="00942B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</w:t>
      </w:r>
      <w:r w:rsidRPr="00942BD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942BDC" w:rsidRPr="00942BDC" w:rsidRDefault="00942BDC" w:rsidP="00942BD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942BDC">
        <w:rPr>
          <w:rFonts w:ascii="Times New Roman" w:hAnsi="Times New Roman"/>
          <w:sz w:val="24"/>
          <w:szCs w:val="24"/>
          <w:lang w:val="uk-UA"/>
        </w:rPr>
        <w:t>до наказу відділу освіти</w:t>
      </w:r>
    </w:p>
    <w:p w:rsidR="00942BDC" w:rsidRPr="00EB7216" w:rsidRDefault="00942BDC" w:rsidP="00EB721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942BDC">
        <w:rPr>
          <w:rFonts w:ascii="Times New Roman" w:hAnsi="Times New Roman"/>
          <w:sz w:val="24"/>
          <w:szCs w:val="24"/>
          <w:lang w:val="uk-UA"/>
        </w:rPr>
        <w:t>від</w:t>
      </w:r>
      <w:r w:rsidR="00EB7216">
        <w:rPr>
          <w:rFonts w:ascii="Times New Roman" w:hAnsi="Times New Roman"/>
          <w:sz w:val="24"/>
          <w:szCs w:val="24"/>
          <w:lang w:val="en-US"/>
        </w:rPr>
        <w:t xml:space="preserve"> 10.06.2020 </w:t>
      </w:r>
      <w:r w:rsidRPr="00942BDC">
        <w:rPr>
          <w:rFonts w:ascii="Times New Roman" w:hAnsi="Times New Roman"/>
          <w:sz w:val="24"/>
          <w:szCs w:val="24"/>
          <w:lang w:val="uk-UA"/>
        </w:rPr>
        <w:t>№</w:t>
      </w:r>
      <w:r w:rsidR="00EB7216">
        <w:rPr>
          <w:rFonts w:ascii="Times New Roman" w:hAnsi="Times New Roman"/>
          <w:sz w:val="24"/>
          <w:szCs w:val="24"/>
          <w:lang w:val="en-US"/>
        </w:rPr>
        <w:t xml:space="preserve"> 107</w:t>
      </w:r>
    </w:p>
    <w:p w:rsidR="00EB7216" w:rsidRDefault="00EB7216" w:rsidP="00942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B7216" w:rsidRDefault="00EB7216" w:rsidP="00942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42BDC" w:rsidRPr="00942BDC" w:rsidRDefault="00EB7216" w:rsidP="00942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bookmarkStart w:id="0" w:name="_GoBack"/>
      <w:bookmarkEnd w:id="0"/>
      <w:r w:rsidR="00942BDC" w:rsidRPr="00942BDC">
        <w:rPr>
          <w:rFonts w:ascii="Times New Roman" w:hAnsi="Times New Roman"/>
          <w:sz w:val="24"/>
          <w:szCs w:val="24"/>
          <w:lang w:val="uk-UA"/>
        </w:rPr>
        <w:t>ерелік</w:t>
      </w:r>
    </w:p>
    <w:p w:rsidR="00942BDC" w:rsidRPr="00942BDC" w:rsidRDefault="00942BDC" w:rsidP="00942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42BDC">
        <w:rPr>
          <w:rFonts w:ascii="Times New Roman" w:hAnsi="Times New Roman"/>
          <w:sz w:val="24"/>
          <w:szCs w:val="24"/>
          <w:lang w:val="uk-UA"/>
        </w:rPr>
        <w:t>уповноваженого закладу загальної середньої освіти  та</w:t>
      </w:r>
    </w:p>
    <w:p w:rsidR="00ED29B3" w:rsidRDefault="00942BDC" w:rsidP="00942B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42BDC">
        <w:rPr>
          <w:rFonts w:ascii="Times New Roman" w:hAnsi="Times New Roman"/>
          <w:sz w:val="24"/>
          <w:szCs w:val="24"/>
          <w:lang w:val="uk-UA"/>
        </w:rPr>
        <w:t xml:space="preserve">уповноваженого закладу вищої та фахової </w:t>
      </w:r>
      <w:proofErr w:type="spellStart"/>
      <w:r w:rsidRPr="00942BDC">
        <w:rPr>
          <w:rFonts w:ascii="Times New Roman" w:hAnsi="Times New Roman"/>
          <w:sz w:val="24"/>
          <w:szCs w:val="24"/>
          <w:lang w:val="uk-UA"/>
        </w:rPr>
        <w:t>передвищої</w:t>
      </w:r>
      <w:proofErr w:type="spellEnd"/>
      <w:r w:rsidRPr="00942BDC">
        <w:rPr>
          <w:rFonts w:ascii="Times New Roman" w:hAnsi="Times New Roman"/>
          <w:sz w:val="24"/>
          <w:szCs w:val="24"/>
          <w:lang w:val="uk-UA"/>
        </w:rPr>
        <w:t xml:space="preserve"> освіти</w:t>
      </w:r>
    </w:p>
    <w:p w:rsidR="00942BDC" w:rsidRPr="00376FBA" w:rsidRDefault="00942BDC" w:rsidP="00942BDC">
      <w:pPr>
        <w:spacing w:after="0" w:line="240" w:lineRule="auto"/>
        <w:jc w:val="center"/>
        <w:rPr>
          <w:sz w:val="20"/>
          <w:szCs w:val="20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1924"/>
        <w:gridCol w:w="1687"/>
        <w:gridCol w:w="1874"/>
        <w:gridCol w:w="1342"/>
        <w:gridCol w:w="2211"/>
      </w:tblGrid>
      <w:tr w:rsidR="00942BDC" w:rsidTr="00942BDC">
        <w:tc>
          <w:tcPr>
            <w:tcW w:w="250" w:type="dxa"/>
          </w:tcPr>
          <w:p w:rsidR="00942BDC" w:rsidRPr="00942BDC" w:rsidRDefault="00942B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>№ 3/п</w:t>
            </w:r>
          </w:p>
        </w:tc>
        <w:tc>
          <w:tcPr>
            <w:tcW w:w="2940" w:type="dxa"/>
          </w:tcPr>
          <w:p w:rsidR="00942BDC" w:rsidRPr="00942BDC" w:rsidRDefault="00942B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Уповноважений заклад вищої та фахової </w:t>
            </w:r>
            <w:proofErr w:type="spellStart"/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595" w:type="dxa"/>
          </w:tcPr>
          <w:p w:rsidR="00942BDC" w:rsidRPr="00942BDC" w:rsidRDefault="00942B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Відповідальна особа за роботу освітнього центру</w:t>
            </w:r>
          </w:p>
        </w:tc>
        <w:tc>
          <w:tcPr>
            <w:tcW w:w="1595" w:type="dxa"/>
          </w:tcPr>
          <w:p w:rsidR="00942BDC" w:rsidRPr="00942BDC" w:rsidRDefault="00942B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Уповноважений заклад загальної середньої освіти</w:t>
            </w:r>
          </w:p>
        </w:tc>
        <w:tc>
          <w:tcPr>
            <w:tcW w:w="1595" w:type="dxa"/>
          </w:tcPr>
          <w:p w:rsidR="00942BDC" w:rsidRPr="00942BDC" w:rsidRDefault="00942B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>Адреса освітнього центру «Донбас-Україна»</w:t>
            </w:r>
          </w:p>
        </w:tc>
        <w:tc>
          <w:tcPr>
            <w:tcW w:w="1595" w:type="dxa"/>
          </w:tcPr>
          <w:p w:rsidR="00942BDC" w:rsidRPr="00942BDC" w:rsidRDefault="00942BD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2BDC">
              <w:rPr>
                <w:rFonts w:ascii="Times New Roman" w:hAnsi="Times New Roman"/>
                <w:sz w:val="24"/>
                <w:szCs w:val="24"/>
                <w:lang w:val="uk-UA"/>
              </w:rPr>
              <w:t>Контакти освітнього центру</w:t>
            </w:r>
          </w:p>
        </w:tc>
      </w:tr>
      <w:tr w:rsidR="00942BDC" w:rsidTr="00942BDC">
        <w:tc>
          <w:tcPr>
            <w:tcW w:w="250" w:type="dxa"/>
          </w:tcPr>
          <w:p w:rsidR="00942BDC" w:rsidRPr="00F6718B" w:rsidRDefault="00361280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40" w:type="dxa"/>
          </w:tcPr>
          <w:p w:rsidR="00942BDC" w:rsidRPr="00F6718B" w:rsidRDefault="00361280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Луганський національний аграрний університет</w:t>
            </w:r>
          </w:p>
        </w:tc>
        <w:tc>
          <w:tcPr>
            <w:tcW w:w="1595" w:type="dxa"/>
          </w:tcPr>
          <w:p w:rsidR="00942BDC" w:rsidRPr="00F6718B" w:rsidRDefault="00361280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Балдик</w:t>
            </w:r>
            <w:proofErr w:type="spellEnd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Денис Олександрович</w:t>
            </w:r>
          </w:p>
        </w:tc>
        <w:tc>
          <w:tcPr>
            <w:tcW w:w="1595" w:type="dxa"/>
          </w:tcPr>
          <w:p w:rsidR="00942BDC" w:rsidRPr="00F6718B" w:rsidRDefault="00361280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Іллінівський</w:t>
            </w:r>
            <w:proofErr w:type="spellEnd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опорний заклад загальної середньої освіти з поглибленим вивче</w:t>
            </w:r>
            <w:r w:rsidR="00F6718B" w:rsidRPr="00F671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нням іноземних мов </w:t>
            </w:r>
            <w:proofErr w:type="spellStart"/>
            <w:r w:rsidR="00F6718B" w:rsidRPr="00F6718B">
              <w:rPr>
                <w:rFonts w:ascii="Times New Roman" w:hAnsi="Times New Roman"/>
                <w:sz w:val="20"/>
                <w:szCs w:val="20"/>
                <w:lang w:val="uk-UA"/>
              </w:rPr>
              <w:t>Іллінівської</w:t>
            </w:r>
            <w:proofErr w:type="spellEnd"/>
            <w:r w:rsidR="00F6718B" w:rsidRPr="00F671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сільської ради Костянтинівського району Донецької області </w:t>
            </w:r>
          </w:p>
          <w:p w:rsidR="00F6718B" w:rsidRPr="00F6718B" w:rsidRDefault="00F6718B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Адреса6</w:t>
            </w:r>
          </w:p>
          <w:p w:rsidR="00F6718B" w:rsidRPr="00F6718B" w:rsidRDefault="00F6718B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вул. Центральна,65</w:t>
            </w:r>
          </w:p>
          <w:p w:rsidR="00F6718B" w:rsidRPr="00F6718B" w:rsidRDefault="00F6718B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Іллінівка</w:t>
            </w:r>
            <w:proofErr w:type="spellEnd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F6718B" w:rsidRPr="00F6718B" w:rsidRDefault="00F6718B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Костянтинівський район</w:t>
            </w:r>
          </w:p>
          <w:p w:rsidR="00F6718B" w:rsidRPr="00F6718B" w:rsidRDefault="00F6718B" w:rsidP="00F671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Донецька область </w:t>
            </w:r>
          </w:p>
        </w:tc>
        <w:tc>
          <w:tcPr>
            <w:tcW w:w="1595" w:type="dxa"/>
          </w:tcPr>
          <w:p w:rsidR="00942BDC" w:rsidRDefault="00F6718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пр. Ломоносова, 157 б</w:t>
            </w:r>
          </w:p>
        </w:tc>
        <w:tc>
          <w:tcPr>
            <w:tcW w:w="1595" w:type="dxa"/>
          </w:tcPr>
          <w:p w:rsidR="00942BDC" w:rsidRDefault="00F671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+38(095)5183937</w:t>
            </w:r>
          </w:p>
          <w:p w:rsidR="00F6718B" w:rsidRPr="00EB7216" w:rsidRDefault="00F6718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7216">
              <w:rPr>
                <w:rFonts w:ascii="Times New Roman" w:hAnsi="Times New Roman"/>
                <w:sz w:val="20"/>
                <w:szCs w:val="20"/>
                <w:lang w:val="en-US"/>
              </w:rPr>
              <w:t>osvitcentr@ignau</w:t>
            </w:r>
            <w:r w:rsidR="00EB7216" w:rsidRPr="00EB7216">
              <w:rPr>
                <w:rFonts w:ascii="Times New Roman" w:hAnsi="Times New Roman"/>
                <w:sz w:val="20"/>
                <w:szCs w:val="20"/>
                <w:lang w:val="en-US"/>
              </w:rPr>
              <w:t>.edu.ua</w:t>
            </w:r>
          </w:p>
          <w:p w:rsidR="00F6718B" w:rsidRPr="00F6718B" w:rsidRDefault="00F671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Графік роботи центру:</w:t>
            </w:r>
          </w:p>
          <w:p w:rsidR="00F6718B" w:rsidRPr="00F6718B" w:rsidRDefault="00F671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Понеділок-пятниця</w:t>
            </w:r>
            <w:proofErr w:type="spellEnd"/>
          </w:p>
          <w:p w:rsidR="00F6718B" w:rsidRPr="00F6718B" w:rsidRDefault="00F671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09.00-18.00</w:t>
            </w:r>
          </w:p>
          <w:p w:rsidR="00F6718B" w:rsidRPr="00F6718B" w:rsidRDefault="00F671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Субота: 09.00-15.00</w:t>
            </w:r>
          </w:p>
          <w:p w:rsidR="00F6718B" w:rsidRDefault="00F6718B">
            <w:pPr>
              <w:jc w:val="center"/>
              <w:rPr>
                <w:sz w:val="20"/>
                <w:szCs w:val="20"/>
                <w:lang w:val="uk-UA"/>
              </w:rPr>
            </w:pPr>
            <w:r w:rsidRPr="00F6718B">
              <w:rPr>
                <w:rFonts w:ascii="Times New Roman" w:hAnsi="Times New Roman"/>
                <w:sz w:val="20"/>
                <w:szCs w:val="20"/>
                <w:lang w:val="uk-UA"/>
              </w:rPr>
              <w:t>(неділя-вихідний)</w:t>
            </w:r>
          </w:p>
        </w:tc>
      </w:tr>
    </w:tbl>
    <w:p w:rsidR="00942BDC" w:rsidRPr="00376FBA" w:rsidRDefault="00942BDC">
      <w:pPr>
        <w:jc w:val="center"/>
        <w:rPr>
          <w:sz w:val="20"/>
          <w:szCs w:val="20"/>
          <w:lang w:val="uk-UA"/>
        </w:rPr>
      </w:pPr>
    </w:p>
    <w:sectPr w:rsidR="00942BDC" w:rsidRPr="00376FBA" w:rsidSect="00B36609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EF" w:rsidRDefault="00442EEF" w:rsidP="00E02D6A">
      <w:pPr>
        <w:spacing w:after="0" w:line="240" w:lineRule="auto"/>
      </w:pPr>
      <w:r>
        <w:separator/>
      </w:r>
    </w:p>
  </w:endnote>
  <w:endnote w:type="continuationSeparator" w:id="0">
    <w:p w:rsidR="00442EEF" w:rsidRDefault="00442EEF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EF" w:rsidRDefault="00442EEF" w:rsidP="00E02D6A">
      <w:pPr>
        <w:spacing w:after="0" w:line="240" w:lineRule="auto"/>
      </w:pPr>
      <w:r>
        <w:separator/>
      </w:r>
    </w:p>
  </w:footnote>
  <w:footnote w:type="continuationSeparator" w:id="0">
    <w:p w:rsidR="00442EEF" w:rsidRDefault="00442EEF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3485"/>
      <w:docPartObj>
        <w:docPartGallery w:val="Page Numbers (Top of Page)"/>
        <w:docPartUnique/>
      </w:docPartObj>
    </w:sdtPr>
    <w:sdtEndPr/>
    <w:sdtContent>
      <w:p w:rsidR="0070099B" w:rsidRDefault="00F83FF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99B" w:rsidRDefault="007009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E5"/>
    <w:rsid w:val="00071762"/>
    <w:rsid w:val="00183B3A"/>
    <w:rsid w:val="0018505E"/>
    <w:rsid w:val="001D4FDE"/>
    <w:rsid w:val="00227FBC"/>
    <w:rsid w:val="002E59C0"/>
    <w:rsid w:val="00361280"/>
    <w:rsid w:val="00376FBA"/>
    <w:rsid w:val="00442EEF"/>
    <w:rsid w:val="00547370"/>
    <w:rsid w:val="0058214E"/>
    <w:rsid w:val="005934E6"/>
    <w:rsid w:val="00597E63"/>
    <w:rsid w:val="005A2F00"/>
    <w:rsid w:val="005A4021"/>
    <w:rsid w:val="005B62AB"/>
    <w:rsid w:val="005F5B2D"/>
    <w:rsid w:val="0068151D"/>
    <w:rsid w:val="006E7FD6"/>
    <w:rsid w:val="0070099B"/>
    <w:rsid w:val="00773532"/>
    <w:rsid w:val="00794DE5"/>
    <w:rsid w:val="00796212"/>
    <w:rsid w:val="007B71F9"/>
    <w:rsid w:val="00885210"/>
    <w:rsid w:val="00942BDC"/>
    <w:rsid w:val="009C2F36"/>
    <w:rsid w:val="00B35876"/>
    <w:rsid w:val="00B36609"/>
    <w:rsid w:val="00B757B4"/>
    <w:rsid w:val="00BC075D"/>
    <w:rsid w:val="00C3319B"/>
    <w:rsid w:val="00C77CDE"/>
    <w:rsid w:val="00D22DDB"/>
    <w:rsid w:val="00DB159F"/>
    <w:rsid w:val="00DB1E6B"/>
    <w:rsid w:val="00DC2720"/>
    <w:rsid w:val="00E02D6A"/>
    <w:rsid w:val="00E23CE3"/>
    <w:rsid w:val="00EB7216"/>
    <w:rsid w:val="00ED29B3"/>
    <w:rsid w:val="00F43805"/>
    <w:rsid w:val="00F6718B"/>
    <w:rsid w:val="00F67D48"/>
    <w:rsid w:val="00F8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E02D6A"/>
    <w:rPr>
      <w:color w:val="0000FF"/>
      <w:u w:val="single"/>
    </w:rPr>
  </w:style>
  <w:style w:type="table" w:styleId="aa">
    <w:name w:val="Table Grid"/>
    <w:basedOn w:val="a1"/>
    <w:uiPriority w:val="59"/>
    <w:rsid w:val="00942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F09A-DD21-45DF-B964-83C0A7A5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Пользователь</cp:lastModifiedBy>
  <cp:revision>11</cp:revision>
  <cp:lastPrinted>2019-05-21T08:38:00Z</cp:lastPrinted>
  <dcterms:created xsi:type="dcterms:W3CDTF">2019-05-20T07:18:00Z</dcterms:created>
  <dcterms:modified xsi:type="dcterms:W3CDTF">2020-06-15T09:23:00Z</dcterms:modified>
</cp:coreProperties>
</file>